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C1EE"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Dans le secteur des </w:t>
      </w:r>
      <w:r>
        <w:rPr>
          <w:rFonts w:ascii="Lato" w:hAnsi="Lato"/>
          <w:color w:val="000000"/>
          <w:sz w:val="23"/>
          <w:szCs w:val="23"/>
          <w:u w:val="single"/>
        </w:rPr>
        <w:t>déchets cuivreux</w:t>
      </w:r>
      <w:r>
        <w:rPr>
          <w:rFonts w:ascii="Lato" w:hAnsi="Lato"/>
          <w:color w:val="000000"/>
          <w:sz w:val="23"/>
          <w:szCs w:val="23"/>
        </w:rPr>
        <w:t>, les opérateurs observent les soubresauts du métal rouge avec un certain détachement. « </w:t>
      </w:r>
      <w:r>
        <w:rPr>
          <w:rStyle w:val="Accentuation"/>
          <w:rFonts w:ascii="Lato" w:hAnsi="Lato"/>
          <w:color w:val="000000"/>
          <w:sz w:val="23"/>
          <w:szCs w:val="23"/>
        </w:rPr>
        <w:t>On ne maîtrise pas grand-chose en ce moment. La difficulté est d’arbitrer le plus rapidement possible. Mais c’est compliqué car le temps pour constituer des camions complets est de plus en plus long </w:t>
      </w:r>
      <w:r>
        <w:rPr>
          <w:rFonts w:ascii="Lato" w:hAnsi="Lato"/>
          <w:color w:val="000000"/>
          <w:sz w:val="23"/>
          <w:szCs w:val="23"/>
        </w:rPr>
        <w:t>», nous confiait récemment un marchand français, rendu nerveux par l’ampleur des fluctuations du cuivre.</w:t>
      </w:r>
    </w:p>
    <w:p w14:paraId="0A43B742"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Côté transformateurs, l'ambiance n’est pas non plus vraiment à la fête. L’absence d’orientation incite les consommateurs de demi-produits à attendre le dernier moment pour effectuer leurs achats alors que ces derniers rencontrent les pires difficultés pour répercuter la cherté du métal auprès de leurs propres clients.</w:t>
      </w:r>
    </w:p>
    <w:p w14:paraId="62DA12C0"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Pour autant, la faiblesse de la collecte et la présence active des importateurs asiatiques permettent la stabilisation des décotes. Sur la base d’un LLME à 10.700 euros la tonne, compter 10.300 euros pour du </w:t>
      </w:r>
      <w:r>
        <w:rPr>
          <w:rFonts w:ascii="Lato" w:hAnsi="Lato"/>
          <w:color w:val="000000"/>
          <w:sz w:val="23"/>
          <w:szCs w:val="23"/>
          <w:u w:val="single"/>
        </w:rPr>
        <w:t>Milberry</w:t>
      </w:r>
      <w:r>
        <w:rPr>
          <w:rFonts w:ascii="Lato" w:hAnsi="Lato"/>
          <w:color w:val="000000"/>
          <w:sz w:val="23"/>
          <w:szCs w:val="23"/>
        </w:rPr>
        <w:t>, 10.200 pour de la </w:t>
      </w:r>
      <w:r>
        <w:rPr>
          <w:rFonts w:ascii="Lato" w:hAnsi="Lato"/>
          <w:color w:val="000000"/>
          <w:sz w:val="23"/>
          <w:szCs w:val="23"/>
          <w:u w:val="single"/>
        </w:rPr>
        <w:t>Dépose</w:t>
      </w:r>
      <w:r>
        <w:rPr>
          <w:rFonts w:ascii="Lato" w:hAnsi="Lato"/>
          <w:color w:val="000000"/>
          <w:sz w:val="23"/>
          <w:szCs w:val="23"/>
        </w:rPr>
        <w:t>, 10.550 pour du </w:t>
      </w:r>
      <w:r>
        <w:rPr>
          <w:rFonts w:ascii="Lato" w:hAnsi="Lato"/>
          <w:color w:val="000000"/>
          <w:sz w:val="23"/>
          <w:szCs w:val="23"/>
          <w:u w:val="single"/>
        </w:rPr>
        <w:t>cuivre mêlé</w:t>
      </w:r>
      <w:r>
        <w:rPr>
          <w:rFonts w:ascii="Lato" w:hAnsi="Lato"/>
          <w:color w:val="000000"/>
          <w:sz w:val="23"/>
          <w:szCs w:val="23"/>
        </w:rPr>
        <w:t>, 6.550 pour du </w:t>
      </w:r>
      <w:r>
        <w:rPr>
          <w:rFonts w:ascii="Lato" w:hAnsi="Lato"/>
          <w:color w:val="000000"/>
          <w:sz w:val="23"/>
          <w:szCs w:val="23"/>
          <w:u w:val="single"/>
        </w:rPr>
        <w:t>laiton mêlé</w:t>
      </w:r>
      <w:r>
        <w:rPr>
          <w:rFonts w:ascii="Lato" w:hAnsi="Lato"/>
          <w:color w:val="000000"/>
          <w:sz w:val="23"/>
          <w:szCs w:val="23"/>
        </w:rPr>
        <w:t>.</w:t>
      </w:r>
    </w:p>
    <w:p w14:paraId="630E3D4B"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p>
    <w:p w14:paraId="34525584"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Style w:val="lev"/>
          <w:rFonts w:ascii="Lato" w:hAnsi="Lato"/>
          <w:color w:val="A52A2A"/>
          <w:sz w:val="23"/>
          <w:szCs w:val="23"/>
        </w:rPr>
        <w:t>Les alu sous pression du LME</w:t>
      </w:r>
    </w:p>
    <w:p w14:paraId="55A778AD"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Les cours de l'</w:t>
      </w:r>
      <w:r>
        <w:rPr>
          <w:rFonts w:ascii="Lato" w:hAnsi="Lato"/>
          <w:color w:val="000000"/>
          <w:sz w:val="23"/>
          <w:szCs w:val="23"/>
          <w:u w:val="single"/>
        </w:rPr>
        <w:t>aluminium</w:t>
      </w:r>
      <w:r>
        <w:rPr>
          <w:rFonts w:ascii="Lato" w:hAnsi="Lato"/>
          <w:color w:val="000000"/>
          <w:sz w:val="23"/>
          <w:szCs w:val="23"/>
        </w:rPr>
        <w:t> au LME ont fortement reculé après leur récente et forte hausse, les prises de bénéfices et la prudence des achats physiques ayant pesé sur le moral du marché. Bien évidemment ce recul impacte les prix de reprise des </w:t>
      </w:r>
      <w:r>
        <w:rPr>
          <w:rFonts w:ascii="Lato" w:hAnsi="Lato"/>
          <w:color w:val="000000"/>
          <w:sz w:val="23"/>
          <w:szCs w:val="23"/>
          <w:u w:val="single"/>
        </w:rPr>
        <w:t>chutes neuves d’aluminium</w:t>
      </w:r>
      <w:r>
        <w:rPr>
          <w:rFonts w:ascii="Lato" w:hAnsi="Lato"/>
          <w:color w:val="000000"/>
          <w:sz w:val="23"/>
          <w:szCs w:val="23"/>
        </w:rPr>
        <w:t>. Qu’il s’agisse des </w:t>
      </w:r>
      <w:r>
        <w:rPr>
          <w:rFonts w:ascii="Lato" w:hAnsi="Lato"/>
          <w:color w:val="000000"/>
          <w:sz w:val="23"/>
          <w:szCs w:val="23"/>
          <w:u w:val="single"/>
        </w:rPr>
        <w:t>profilés AGS</w:t>
      </w:r>
      <w:r>
        <w:rPr>
          <w:rFonts w:ascii="Lato" w:hAnsi="Lato"/>
          <w:color w:val="000000"/>
          <w:sz w:val="23"/>
          <w:szCs w:val="23"/>
        </w:rPr>
        <w:t>, des </w:t>
      </w:r>
      <w:r>
        <w:rPr>
          <w:rFonts w:ascii="Lato" w:hAnsi="Lato"/>
          <w:color w:val="000000"/>
          <w:sz w:val="23"/>
          <w:szCs w:val="23"/>
          <w:u w:val="single"/>
        </w:rPr>
        <w:t>alu purs</w:t>
      </w:r>
      <w:r>
        <w:rPr>
          <w:rFonts w:ascii="Lato" w:hAnsi="Lato"/>
          <w:color w:val="000000"/>
          <w:sz w:val="23"/>
          <w:szCs w:val="23"/>
        </w:rPr>
        <w:t> ou des </w:t>
      </w:r>
      <w:r>
        <w:rPr>
          <w:rFonts w:ascii="Lato" w:hAnsi="Lato"/>
          <w:color w:val="000000"/>
          <w:sz w:val="23"/>
          <w:szCs w:val="23"/>
          <w:u w:val="single"/>
        </w:rPr>
        <w:t>AG titrés</w:t>
      </w:r>
      <w:r>
        <w:rPr>
          <w:rFonts w:ascii="Lato" w:hAnsi="Lato"/>
          <w:color w:val="000000"/>
          <w:sz w:val="23"/>
          <w:szCs w:val="23"/>
        </w:rPr>
        <w:t>, toutes ces qualités affichent une baisse hebdomadaire comprise entre 80 et 100 euros la tonne. Toutefois, il est à noter que la faiblesse des disponibilités contraint les transformateurs à lâcher un peu de lest sur leurs prix d’achats. La hausse des primes sur les </w:t>
      </w:r>
      <w:r>
        <w:rPr>
          <w:rFonts w:ascii="Lato" w:hAnsi="Lato"/>
          <w:color w:val="000000"/>
          <w:sz w:val="23"/>
          <w:szCs w:val="23"/>
          <w:u w:val="single"/>
        </w:rPr>
        <w:t>alu purs</w:t>
      </w:r>
      <w:r>
        <w:rPr>
          <w:rFonts w:ascii="Lato" w:hAnsi="Lato"/>
          <w:color w:val="000000"/>
          <w:sz w:val="23"/>
          <w:szCs w:val="23"/>
        </w:rPr>
        <w:t> et les </w:t>
      </w:r>
      <w:r>
        <w:rPr>
          <w:rFonts w:ascii="Lato" w:hAnsi="Lato"/>
          <w:color w:val="000000"/>
          <w:sz w:val="23"/>
          <w:szCs w:val="23"/>
          <w:u w:val="single"/>
        </w:rPr>
        <w:t>AGS</w:t>
      </w:r>
      <w:r>
        <w:rPr>
          <w:rFonts w:ascii="Lato" w:hAnsi="Lato"/>
          <w:color w:val="000000"/>
          <w:sz w:val="23"/>
          <w:szCs w:val="23"/>
        </w:rPr>
        <w:t> entamée la semaine dernière était confirmée au début de celle-ci. Ces hausses ne compensent toutefois pas la baisse du cours de référence ; loin s’en faut.</w:t>
      </w:r>
    </w:p>
    <w:p w14:paraId="14CD68E1"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p>
    <w:p w14:paraId="273D4606"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Style w:val="lev"/>
          <w:rFonts w:ascii="Lato" w:hAnsi="Lato"/>
          <w:color w:val="A52A2A"/>
          <w:sz w:val="23"/>
          <w:szCs w:val="23"/>
        </w:rPr>
        <w:t>Lingots de seconde fusion : décélération</w:t>
      </w:r>
    </w:p>
    <w:p w14:paraId="74B41630"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recul du LME affecte également le prix des </w:t>
      </w:r>
      <w:r>
        <w:rPr>
          <w:rFonts w:ascii="Lato" w:hAnsi="Lato"/>
          <w:color w:val="000000"/>
          <w:sz w:val="23"/>
          <w:szCs w:val="23"/>
          <w:u w:val="single"/>
        </w:rPr>
        <w:t>lingots</w:t>
      </w:r>
      <w:r>
        <w:rPr>
          <w:rFonts w:ascii="Lato" w:hAnsi="Lato"/>
          <w:color w:val="000000"/>
          <w:sz w:val="23"/>
          <w:szCs w:val="23"/>
        </w:rPr>
        <w:t> de seconde fusion. Pour rappel, depuis des mois, ces derniers trouvent un double appui dans la raréfaction des déchets à enfourner, mais aussi dans la hausse du cours du métal primaire. Ainsi, la correction des cours sur le LME explique en grande partie la quasi-stabilisation du </w:t>
      </w:r>
      <w:r>
        <w:rPr>
          <w:rFonts w:ascii="Lato" w:hAnsi="Lato"/>
          <w:color w:val="000000"/>
          <w:sz w:val="23"/>
          <w:szCs w:val="23"/>
          <w:u w:val="single"/>
        </w:rPr>
        <w:t>DIN 226</w:t>
      </w:r>
      <w:r>
        <w:rPr>
          <w:rFonts w:ascii="Lato" w:hAnsi="Lato"/>
          <w:color w:val="000000"/>
          <w:sz w:val="23"/>
          <w:szCs w:val="23"/>
        </w:rPr>
        <w:t> en fin de semaine dernière. Celui-ci enregistrait en effet une modeste progression de 0,30 %, à 3.270/3.440 euros la tonne. Pour l’heure, les affineurs continuent d’être sollicités pour des contrats sur août et septembre. Touetois, la proximité des congés d’été devrait contribuer à calmer les esprits et à stabiliser les prix. « </w:t>
      </w:r>
      <w:r>
        <w:rPr>
          <w:rStyle w:val="Accentuation"/>
          <w:rFonts w:ascii="Lato" w:hAnsi="Lato"/>
          <w:color w:val="000000"/>
          <w:sz w:val="23"/>
          <w:szCs w:val="23"/>
        </w:rPr>
        <w:t>Les prix des déchets ont beaucoup monté, mais ça ne les fait pas plus sortir pour autant </w:t>
      </w:r>
      <w:r>
        <w:rPr>
          <w:rFonts w:ascii="Lato" w:hAnsi="Lato"/>
          <w:color w:val="000000"/>
          <w:sz w:val="23"/>
          <w:szCs w:val="23"/>
        </w:rPr>
        <w:t>», prévient un opérateur pour qui le marché a besoin d’un sursaut de consommation, pour vendre du </w:t>
      </w:r>
      <w:r>
        <w:rPr>
          <w:rFonts w:ascii="Lato" w:hAnsi="Lato"/>
          <w:color w:val="000000"/>
          <w:sz w:val="23"/>
          <w:szCs w:val="23"/>
          <w:u w:val="single"/>
        </w:rPr>
        <w:t>lingot</w:t>
      </w:r>
      <w:r>
        <w:rPr>
          <w:rFonts w:ascii="Lato" w:hAnsi="Lato"/>
          <w:color w:val="000000"/>
          <w:sz w:val="23"/>
          <w:szCs w:val="23"/>
        </w:rPr>
        <w:t> et générer des </w:t>
      </w:r>
      <w:r>
        <w:rPr>
          <w:rFonts w:ascii="Lato" w:hAnsi="Lato"/>
          <w:color w:val="000000"/>
          <w:sz w:val="23"/>
          <w:szCs w:val="23"/>
          <w:u w:val="single"/>
        </w:rPr>
        <w:t>déchets</w:t>
      </w:r>
      <w:r>
        <w:rPr>
          <w:rFonts w:ascii="Lato" w:hAnsi="Lato"/>
          <w:color w:val="000000"/>
          <w:sz w:val="23"/>
          <w:szCs w:val="23"/>
        </w:rPr>
        <w:t>. Reste à savoir quand ce sursaut interviendra, alors que l’on craint une hausse des taux d’intérêt, jamais bien propice à une reprise de la consommation.</w:t>
      </w:r>
    </w:p>
    <w:p w14:paraId="3BC4309D"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p>
    <w:p w14:paraId="7089D691"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Style w:val="lev"/>
          <w:rFonts w:ascii="Lato" w:hAnsi="Lato"/>
          <w:color w:val="A52A2A"/>
          <w:sz w:val="23"/>
          <w:szCs w:val="23"/>
        </w:rPr>
        <w:t>Tassement des inox</w:t>
      </w:r>
    </w:p>
    <w:p w14:paraId="72F96937"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Tassement pour le </w:t>
      </w:r>
      <w:r>
        <w:rPr>
          <w:rFonts w:ascii="Lato" w:hAnsi="Lato"/>
          <w:color w:val="000000"/>
          <w:sz w:val="23"/>
          <w:szCs w:val="23"/>
          <w:u w:val="single"/>
        </w:rPr>
        <w:t>nickel</w:t>
      </w:r>
      <w:r>
        <w:rPr>
          <w:rFonts w:ascii="Lato" w:hAnsi="Lato"/>
          <w:color w:val="000000"/>
          <w:sz w:val="23"/>
          <w:szCs w:val="23"/>
        </w:rPr>
        <w:t> qui voit son cours LLME abandonner près de 300 euros sur une semaine. Les préparateurs sont de moins en moins enclins à faire des efforts et à lâcher du lest, constatent la plupart des vendeurs. Le prix moyen de la mitraille de </w:t>
      </w:r>
      <w:r>
        <w:rPr>
          <w:rFonts w:ascii="Lato" w:hAnsi="Lato"/>
          <w:color w:val="000000"/>
          <w:sz w:val="23"/>
          <w:szCs w:val="23"/>
          <w:u w:val="single"/>
        </w:rPr>
        <w:t>18/8-304</w:t>
      </w:r>
      <w:r>
        <w:rPr>
          <w:rFonts w:ascii="Lato" w:hAnsi="Lato"/>
          <w:color w:val="000000"/>
          <w:sz w:val="23"/>
          <w:szCs w:val="23"/>
        </w:rPr>
        <w:t> parvient tant bien que mal à se maintenir autour des 1.300 euros. Il en va de même pour celle de </w:t>
      </w:r>
      <w:r>
        <w:rPr>
          <w:rFonts w:ascii="Lato" w:hAnsi="Lato"/>
          <w:color w:val="000000"/>
          <w:sz w:val="23"/>
          <w:szCs w:val="23"/>
          <w:u w:val="single"/>
        </w:rPr>
        <w:t>18/8 Mo-316</w:t>
      </w:r>
      <w:r>
        <w:rPr>
          <w:rFonts w:ascii="Lato" w:hAnsi="Lato"/>
          <w:color w:val="000000"/>
          <w:sz w:val="23"/>
          <w:szCs w:val="23"/>
        </w:rPr>
        <w:t>, payée autour des 2.250 euros la tonne.</w:t>
      </w:r>
    </w:p>
    <w:p w14:paraId="65465C96"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p>
    <w:p w14:paraId="575ADF33"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Style w:val="lev"/>
          <w:rFonts w:ascii="Lato" w:hAnsi="Lato"/>
          <w:color w:val="A52A2A"/>
          <w:sz w:val="23"/>
          <w:szCs w:val="23"/>
        </w:rPr>
        <w:lastRenderedPageBreak/>
        <w:t>Vieux zinc : collecte en berne</w:t>
      </w:r>
    </w:p>
    <w:p w14:paraId="54319945"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w:t>
      </w:r>
      <w:r>
        <w:rPr>
          <w:rFonts w:ascii="Lato" w:hAnsi="Lato"/>
          <w:color w:val="000000"/>
          <w:sz w:val="23"/>
          <w:szCs w:val="23"/>
          <w:u w:val="single"/>
        </w:rPr>
        <w:t>zinc</w:t>
      </w:r>
      <w:r>
        <w:rPr>
          <w:rFonts w:ascii="Lato" w:hAnsi="Lato"/>
          <w:color w:val="000000"/>
          <w:sz w:val="23"/>
          <w:szCs w:val="23"/>
        </w:rPr>
        <w:t> connaît des hauts et des bas, suivant en cela l’évolution du </w:t>
      </w:r>
      <w:r>
        <w:rPr>
          <w:rFonts w:ascii="Lato" w:hAnsi="Lato"/>
          <w:color w:val="000000"/>
          <w:sz w:val="23"/>
          <w:szCs w:val="23"/>
          <w:u w:val="single"/>
        </w:rPr>
        <w:t>cuivre</w:t>
      </w:r>
      <w:r>
        <w:rPr>
          <w:rFonts w:ascii="Lato" w:hAnsi="Lato"/>
          <w:color w:val="000000"/>
          <w:sz w:val="23"/>
          <w:szCs w:val="23"/>
        </w:rPr>
        <w:t>. Les offres en déchets de </w:t>
      </w:r>
      <w:r>
        <w:rPr>
          <w:rFonts w:ascii="Lato" w:hAnsi="Lato"/>
          <w:color w:val="000000"/>
          <w:sz w:val="23"/>
          <w:szCs w:val="23"/>
          <w:u w:val="single"/>
        </w:rPr>
        <w:t>vieux zinc</w:t>
      </w:r>
      <w:r>
        <w:rPr>
          <w:rFonts w:ascii="Lato" w:hAnsi="Lato"/>
          <w:color w:val="000000"/>
          <w:sz w:val="23"/>
          <w:szCs w:val="23"/>
        </w:rPr>
        <w:t> sont d’autant plus faibles que la collecte ne se redresse pas. « </w:t>
      </w:r>
      <w:r>
        <w:rPr>
          <w:rStyle w:val="Accentuation"/>
          <w:rFonts w:ascii="Lato" w:hAnsi="Lato"/>
          <w:color w:val="000000"/>
          <w:sz w:val="23"/>
          <w:szCs w:val="23"/>
        </w:rPr>
        <w:t>Le bâtiment va mal, qu’il s’agisse du neuf ou de la rénovation </w:t>
      </w:r>
      <w:r>
        <w:rPr>
          <w:rFonts w:ascii="Lato" w:hAnsi="Lato"/>
          <w:color w:val="000000"/>
          <w:sz w:val="23"/>
          <w:szCs w:val="23"/>
        </w:rPr>
        <w:t>», tente d’expliquer un collecteur qui fonde toutefois quelque espoir dans la proximité des congés d’été qui « </w:t>
      </w:r>
      <w:r>
        <w:rPr>
          <w:rStyle w:val="Accentuation"/>
          <w:rFonts w:ascii="Lato" w:hAnsi="Lato"/>
          <w:color w:val="000000"/>
          <w:sz w:val="23"/>
          <w:szCs w:val="23"/>
        </w:rPr>
        <w:t>incite les couvreurs à vendre leur </w:t>
      </w:r>
      <w:r>
        <w:rPr>
          <w:rStyle w:val="Accentuation"/>
          <w:rFonts w:ascii="Lato" w:hAnsi="Lato"/>
          <w:color w:val="000000"/>
          <w:sz w:val="23"/>
          <w:szCs w:val="23"/>
          <w:u w:val="single"/>
        </w:rPr>
        <w:t>vieux zinc</w:t>
      </w:r>
      <w:r>
        <w:rPr>
          <w:rStyle w:val="Accentuation"/>
          <w:rFonts w:ascii="Lato" w:hAnsi="Lato"/>
          <w:color w:val="000000"/>
          <w:sz w:val="23"/>
          <w:szCs w:val="23"/>
        </w:rPr>
        <w:t> </w:t>
      </w:r>
      <w:r>
        <w:rPr>
          <w:rFonts w:ascii="Lato" w:hAnsi="Lato"/>
          <w:color w:val="000000"/>
          <w:sz w:val="23"/>
          <w:szCs w:val="23"/>
        </w:rPr>
        <w:t>». Le prix moyen franco Italie flirte avec les 2.600 euros la tonne.</w:t>
      </w:r>
    </w:p>
    <w:p w14:paraId="0DD1BB92"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p>
    <w:p w14:paraId="421578CD"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Style w:val="lev"/>
          <w:rFonts w:ascii="Lato" w:hAnsi="Lato"/>
          <w:color w:val="A52A2A"/>
          <w:sz w:val="23"/>
          <w:szCs w:val="23"/>
        </w:rPr>
        <w:t>Batteries : les Espagnols en haut de l’affiche</w:t>
      </w:r>
    </w:p>
    <w:p w14:paraId="4CC8231E" w14:textId="77777777" w:rsidR="000D7147" w:rsidRDefault="000D7147" w:rsidP="000D7147">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marché des </w:t>
      </w:r>
      <w:r>
        <w:rPr>
          <w:rFonts w:ascii="Lato" w:hAnsi="Lato"/>
          <w:color w:val="000000"/>
          <w:sz w:val="23"/>
          <w:szCs w:val="23"/>
          <w:u w:val="single"/>
        </w:rPr>
        <w:t>batteries</w:t>
      </w:r>
      <w:r>
        <w:rPr>
          <w:rFonts w:ascii="Lato" w:hAnsi="Lato"/>
          <w:color w:val="000000"/>
          <w:sz w:val="23"/>
          <w:szCs w:val="23"/>
        </w:rPr>
        <w:t> apparaît de plus en plus dynamique avec des prix espagnols en hausse significative. Certains lots importants auraient ainsi été négociés sur une base de 580 euros la tonne départ ; très au-dessus donc des prix proposés par les transformateurs nord européens dont les prix moyens oscillent entre 520 et 540 euros départ par 25t.</w:t>
      </w:r>
    </w:p>
    <w:p w14:paraId="7EB04773" w14:textId="77777777" w:rsidR="00E8762E" w:rsidRDefault="00E8762E"/>
    <w:sectPr w:rsidR="00E87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7"/>
    <w:rsid w:val="000D7147"/>
    <w:rsid w:val="002547E7"/>
    <w:rsid w:val="00926D15"/>
    <w:rsid w:val="00E8762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6BAC"/>
  <w15:chartTrackingRefBased/>
  <w15:docId w15:val="{C27D7518-499C-4E19-B81B-11CA7384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71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71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71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71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1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1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1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1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71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71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71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71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71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1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1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147"/>
    <w:rPr>
      <w:rFonts w:eastAsiaTheme="majorEastAsia" w:cstheme="majorBidi"/>
      <w:color w:val="272727" w:themeColor="text1" w:themeTint="D8"/>
    </w:rPr>
  </w:style>
  <w:style w:type="paragraph" w:styleId="Titre">
    <w:name w:val="Title"/>
    <w:basedOn w:val="Normal"/>
    <w:next w:val="Normal"/>
    <w:link w:val="TitreCar"/>
    <w:uiPriority w:val="10"/>
    <w:qFormat/>
    <w:rsid w:val="000D7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1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1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1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147"/>
    <w:pPr>
      <w:spacing w:before="160"/>
      <w:jc w:val="center"/>
    </w:pPr>
    <w:rPr>
      <w:i/>
      <w:iCs/>
      <w:color w:val="404040" w:themeColor="text1" w:themeTint="BF"/>
    </w:rPr>
  </w:style>
  <w:style w:type="character" w:customStyle="1" w:styleId="CitationCar">
    <w:name w:val="Citation Car"/>
    <w:basedOn w:val="Policepardfaut"/>
    <w:link w:val="Citation"/>
    <w:uiPriority w:val="29"/>
    <w:rsid w:val="000D7147"/>
    <w:rPr>
      <w:i/>
      <w:iCs/>
      <w:color w:val="404040" w:themeColor="text1" w:themeTint="BF"/>
    </w:rPr>
  </w:style>
  <w:style w:type="paragraph" w:styleId="Paragraphedeliste">
    <w:name w:val="List Paragraph"/>
    <w:basedOn w:val="Normal"/>
    <w:uiPriority w:val="34"/>
    <w:qFormat/>
    <w:rsid w:val="000D7147"/>
    <w:pPr>
      <w:ind w:left="720"/>
      <w:contextualSpacing/>
    </w:pPr>
  </w:style>
  <w:style w:type="character" w:styleId="Accentuationintense">
    <w:name w:val="Intense Emphasis"/>
    <w:basedOn w:val="Policepardfaut"/>
    <w:uiPriority w:val="21"/>
    <w:qFormat/>
    <w:rsid w:val="000D7147"/>
    <w:rPr>
      <w:i/>
      <w:iCs/>
      <w:color w:val="0F4761" w:themeColor="accent1" w:themeShade="BF"/>
    </w:rPr>
  </w:style>
  <w:style w:type="paragraph" w:styleId="Citationintense">
    <w:name w:val="Intense Quote"/>
    <w:basedOn w:val="Normal"/>
    <w:next w:val="Normal"/>
    <w:link w:val="CitationintenseCar"/>
    <w:uiPriority w:val="30"/>
    <w:qFormat/>
    <w:rsid w:val="000D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7147"/>
    <w:rPr>
      <w:i/>
      <w:iCs/>
      <w:color w:val="0F4761" w:themeColor="accent1" w:themeShade="BF"/>
    </w:rPr>
  </w:style>
  <w:style w:type="character" w:styleId="Rfrenceintense">
    <w:name w:val="Intense Reference"/>
    <w:basedOn w:val="Policepardfaut"/>
    <w:uiPriority w:val="32"/>
    <w:qFormat/>
    <w:rsid w:val="000D7147"/>
    <w:rPr>
      <w:b/>
      <w:bCs/>
      <w:smallCaps/>
      <w:color w:val="0F4761" w:themeColor="accent1" w:themeShade="BF"/>
      <w:spacing w:val="5"/>
    </w:rPr>
  </w:style>
  <w:style w:type="paragraph" w:styleId="NormalWeb">
    <w:name w:val="Normal (Web)"/>
    <w:basedOn w:val="Normal"/>
    <w:uiPriority w:val="99"/>
    <w:semiHidden/>
    <w:unhideWhenUsed/>
    <w:rsid w:val="000D7147"/>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Accentuation">
    <w:name w:val="Emphasis"/>
    <w:basedOn w:val="Policepardfaut"/>
    <w:uiPriority w:val="20"/>
    <w:qFormat/>
    <w:rsid w:val="000D7147"/>
    <w:rPr>
      <w:i/>
      <w:iCs/>
    </w:rPr>
  </w:style>
  <w:style w:type="character" w:styleId="lev">
    <w:name w:val="Strong"/>
    <w:basedOn w:val="Policepardfaut"/>
    <w:uiPriority w:val="22"/>
    <w:qFormat/>
    <w:rsid w:val="000D7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3615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2026-06-22T05:32:00Z</dcterms:created>
  <dcterms:modified xsi:type="dcterms:W3CDTF">2026-06-22T05:33:00Z</dcterms:modified>
</cp:coreProperties>
</file>